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32"/>
          <w:szCs w:val="32"/>
        </w:rPr>
      </w:pPr>
      <w:r w:rsidDel="00000000" w:rsidR="00000000" w:rsidRPr="00000000">
        <w:rPr>
          <w:rFonts w:ascii="Playfair Display" w:cs="Playfair Display" w:eastAsia="Playfair Display" w:hAnsi="Playfair Display"/>
          <w:color w:val="2f5496"/>
          <w:sz w:val="32"/>
          <w:szCs w:val="32"/>
          <w:rtl w:val="0"/>
        </w:rPr>
        <w:t xml:space="preserve">Algemene Voorwaarden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Dit document dient zorgvuldig gelezen te worden. Door gebruik te maken van de diensten van De Roedel &amp; Co gaat u automatisch akkoord met de algemene voorwaarden.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Aansprakelijkheid </w:t>
      </w:r>
    </w:p>
    <w:p w:rsidR="00000000" w:rsidDel="00000000" w:rsidP="00000000" w:rsidRDefault="00000000" w:rsidRPr="00000000" w14:paraId="00000005">
      <w:pPr>
        <w:numPr>
          <w:ilvl w:val="0"/>
          <w:numId w:val="12"/>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dient een WA-verzekering te hebben.  </w:t>
      </w:r>
    </w:p>
    <w:p w:rsidR="00000000" w:rsidDel="00000000" w:rsidP="00000000" w:rsidRDefault="00000000" w:rsidRPr="00000000" w14:paraId="00000006">
      <w:pPr>
        <w:numPr>
          <w:ilvl w:val="0"/>
          <w:numId w:val="12"/>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blijft ten alle tijden aansprakelijk voor de daden van de hond en de schade die wordt aangericht door de hond aan derden. </w:t>
      </w:r>
    </w:p>
    <w:p w:rsidR="00000000" w:rsidDel="00000000" w:rsidP="00000000" w:rsidRDefault="00000000" w:rsidRPr="00000000" w14:paraId="00000007">
      <w:pPr>
        <w:numPr>
          <w:ilvl w:val="0"/>
          <w:numId w:val="8"/>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honden lopen tijdens de wandeling los in de daarvoor aangewezen gebieden. De Roedel &amp; Co is niet aansprakelijk voor het weglopen, gewond raken of anderzijds oplopen van een trauma van de hond.</w:t>
      </w:r>
    </w:p>
    <w:p w:rsidR="00000000" w:rsidDel="00000000" w:rsidP="00000000" w:rsidRDefault="00000000" w:rsidRPr="00000000" w14:paraId="00000008">
      <w:pPr>
        <w:numPr>
          <w:ilvl w:val="0"/>
          <w:numId w:val="8"/>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is niet aansprakelijk voor schade of kosten als gevolg van ziekte, verwonding, vermissing of overlijden van de hond, mits dit aantoonbaar met opzet of grove schuld door De Roedel &amp; Co is gedaan. </w:t>
      </w:r>
    </w:p>
    <w:p w:rsidR="00000000" w:rsidDel="00000000" w:rsidP="00000000" w:rsidRDefault="00000000" w:rsidRPr="00000000" w14:paraId="00000009">
      <w:pPr>
        <w:numPr>
          <w:ilvl w:val="0"/>
          <w:numId w:val="8"/>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Eventuele kosten van medische zorg en schade aan derden worden bij de eigenaar van de hond verhaald. Indien niet duidelijk is welke hond de oorzaak is van de schade worden de kosten tussen de eigenaren van de honden verdeeld.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0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Annuleren</w:t>
      </w:r>
    </w:p>
    <w:p w:rsidR="00000000" w:rsidDel="00000000" w:rsidP="00000000" w:rsidRDefault="00000000" w:rsidRPr="00000000" w14:paraId="0000000C">
      <w:pPr>
        <w:numPr>
          <w:ilvl w:val="0"/>
          <w:numId w:val="13"/>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dient minimaal 48 uur van tevoren de afspraak te annuleren. Zie ‘5. Kosten’ voor annuleringskosten.</w:t>
      </w:r>
    </w:p>
    <w:p w:rsidR="00000000" w:rsidDel="00000000" w:rsidP="00000000" w:rsidRDefault="00000000" w:rsidRPr="00000000" w14:paraId="0000000D">
      <w:pPr>
        <w:numPr>
          <w:ilvl w:val="0"/>
          <w:numId w:val="13"/>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kan een opdracht tijdelijk op non-actief zetten in verband met vakanties. Er wordt getracht dit minimaal twee weken van tevoren mee te delen aan de eigenaar van de hond. </w:t>
      </w:r>
    </w:p>
    <w:p w:rsidR="00000000" w:rsidDel="00000000" w:rsidP="00000000" w:rsidRDefault="00000000" w:rsidRPr="00000000" w14:paraId="0000000E">
      <w:pPr>
        <w:numPr>
          <w:ilvl w:val="0"/>
          <w:numId w:val="13"/>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heeft ten alle tijde het recht om de afspraken op het laatste moment af te zeggen in geval van: </w:t>
        <w:br w:type="textWrapping"/>
        <w:t xml:space="preserve">. Code rood, afgegeven door de Koninklijk Nederlands Meteorologisch Instituut (KNMI);</w:t>
        <w:br w:type="textWrapping"/>
        <w:t xml:space="preserve">. Privé- of familieomstandigheden;</w:t>
        <w:br w:type="textWrapping"/>
        <w:t xml:space="preserve">. Ziekte.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1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Gedrag </w:t>
      </w:r>
    </w:p>
    <w:p w:rsidR="00000000" w:rsidDel="00000000" w:rsidP="00000000" w:rsidRDefault="00000000" w:rsidRPr="00000000" w14:paraId="00000011">
      <w:pPr>
        <w:numPr>
          <w:ilvl w:val="0"/>
          <w:numId w:val="10"/>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is sociaal naar mens en dier. </w:t>
      </w:r>
    </w:p>
    <w:p w:rsidR="00000000" w:rsidDel="00000000" w:rsidP="00000000" w:rsidRDefault="00000000" w:rsidRPr="00000000" w14:paraId="00000012">
      <w:pPr>
        <w:numPr>
          <w:ilvl w:val="0"/>
          <w:numId w:val="10"/>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kan loslopen en terugkomen wanneer hij geroepen wordt. </w:t>
      </w:r>
    </w:p>
    <w:p w:rsidR="00000000" w:rsidDel="00000000" w:rsidP="00000000" w:rsidRDefault="00000000" w:rsidRPr="00000000" w14:paraId="00000013">
      <w:pPr>
        <w:numPr>
          <w:ilvl w:val="0"/>
          <w:numId w:val="10"/>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behoudt zich het recht om honden voor wat voor reden dan ook te weigeren (denk aan herhaaldelijk onacceptabel gedrag, een gevaar voor de omgeving of besmetting met een ziekte).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1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Gezondheid </w:t>
      </w:r>
    </w:p>
    <w:p w:rsidR="00000000" w:rsidDel="00000000" w:rsidP="00000000" w:rsidRDefault="00000000" w:rsidRPr="00000000" w14:paraId="00000016">
      <w:pPr>
        <w:numPr>
          <w:ilvl w:val="0"/>
          <w:numId w:val="14"/>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is gevaccineerd of getiterd. </w:t>
      </w:r>
    </w:p>
    <w:p w:rsidR="00000000" w:rsidDel="00000000" w:rsidP="00000000" w:rsidRDefault="00000000" w:rsidRPr="00000000" w14:paraId="00000017">
      <w:pPr>
        <w:numPr>
          <w:ilvl w:val="0"/>
          <w:numId w:val="14"/>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is vrij van endo- en ectoparasieten. </w:t>
      </w:r>
    </w:p>
    <w:p w:rsidR="00000000" w:rsidDel="00000000" w:rsidP="00000000" w:rsidRDefault="00000000" w:rsidRPr="00000000" w14:paraId="00000018">
      <w:pPr>
        <w:numPr>
          <w:ilvl w:val="0"/>
          <w:numId w:val="14"/>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is gechipt en de registratie is up-to-date. </w:t>
      </w:r>
    </w:p>
    <w:p w:rsidR="00000000" w:rsidDel="00000000" w:rsidP="00000000" w:rsidRDefault="00000000" w:rsidRPr="00000000" w14:paraId="00000019">
      <w:pPr>
        <w:numPr>
          <w:ilvl w:val="0"/>
          <w:numId w:val="14"/>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machtigt De Roedel &amp; Co om op kosten van de eigenaar van de hond medische zorg te verschaffen indien De Roedel &amp; Co dit nodig acht. Als blijkt dat een belangrijke medische ingreep nodig is, zal in overleg met de zorgverlener eerst contact met de eigenaar van de hond gezocht worden. Uitzonderingen zijn spoedzorg en noodzakelijke ingrepen. </w:t>
      </w:r>
    </w:p>
    <w:p w:rsidR="00000000" w:rsidDel="00000000" w:rsidP="00000000" w:rsidRDefault="00000000" w:rsidRPr="00000000" w14:paraId="0000001A">
      <w:pPr>
        <w:numPr>
          <w:ilvl w:val="0"/>
          <w:numId w:val="11"/>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Loopse en drachtige teven kunnen niet deelnemen aan de roedelwandeling. </w:t>
      </w:r>
    </w:p>
    <w:p w:rsidR="00000000" w:rsidDel="00000000" w:rsidP="00000000" w:rsidRDefault="00000000" w:rsidRPr="00000000" w14:paraId="0000001B">
      <w:pPr>
        <w:numPr>
          <w:ilvl w:val="0"/>
          <w:numId w:val="11"/>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Gezondheidsklachten, waaronder ziektes en blessures, dienen van tevoren gemeld te worden. De Roedel &amp; Co is niet aansprakelijk voor verslechtering van de gezondheidsklachten.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1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Kosten </w:t>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Kosteloos annuleren kan tot 48 uur van tevoren. Bij annulering tussen de 48 en 24 uur wordt 50 procent van de kosten in rekening gebracht. Bij annulering binnen 24 uur wordt 100 procent van de kosten in rekening gebracht. Onvoorziene omstandigheden kunnen altijd gebeuren, neem daarvoor contact met ons op. </w:t>
      </w:r>
      <w:r w:rsidDel="00000000" w:rsidR="00000000" w:rsidRPr="00000000">
        <w:rPr>
          <w:rtl w:val="0"/>
        </w:rPr>
      </w:r>
    </w:p>
    <w:p w:rsidR="00000000" w:rsidDel="00000000" w:rsidP="00000000" w:rsidRDefault="00000000" w:rsidRPr="00000000" w14:paraId="0000001F">
      <w:pPr>
        <w:numPr>
          <w:ilvl w:val="0"/>
          <w:numId w:val="2"/>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wandeling mag zowel vooraf als achteraf betaald worden. In het inschrijfformulier wordt geconcretiseerd hoe en wanneer er betaald wordt. Bij wanbetaling kan De Roedel &amp; Co de overeenkomst onmiddellijk ontbinden. </w:t>
      </w:r>
    </w:p>
    <w:p w:rsidR="00000000" w:rsidDel="00000000" w:rsidP="00000000" w:rsidRDefault="00000000" w:rsidRPr="00000000" w14:paraId="00000020">
      <w:pPr>
        <w:numPr>
          <w:ilvl w:val="0"/>
          <w:numId w:val="5"/>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betaling dient binnen 14 dagen volledig te zijn gemaakt. Indien betaling achterwege blijft, volgt er na 21 dagen verhoging van 50 procent van het bedrag en na 30 dagen verhoging van 100 procent.  </w:t>
      </w:r>
    </w:p>
    <w:p w:rsidR="00000000" w:rsidDel="00000000" w:rsidP="00000000" w:rsidRDefault="00000000" w:rsidRPr="00000000" w14:paraId="00000021">
      <w:pPr>
        <w:numPr>
          <w:ilvl w:val="0"/>
          <w:numId w:val="5"/>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behoudt het recht om de tarieven en voorwaarden aan te passen. De eigenaar van de hond kan bij wijzigingen geen aanspraak maken op eerdere uitgaven van de algemene voorwaarden. De actuele tarieven kunnen worden opgevraagd bij de werknemers van De Roedel &amp; Co.</w:t>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Ophalen en thuisbrengen </w:t>
      </w:r>
    </w:p>
    <w:p w:rsidR="00000000" w:rsidDel="00000000" w:rsidP="00000000" w:rsidRDefault="00000000" w:rsidRPr="00000000" w14:paraId="00000024">
      <w:pPr>
        <w:numPr>
          <w:ilvl w:val="0"/>
          <w:numId w:val="15"/>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is op de afgesproken plaats en tijdstip aanwezig. </w:t>
      </w:r>
    </w:p>
    <w:p w:rsidR="00000000" w:rsidDel="00000000" w:rsidP="00000000" w:rsidRDefault="00000000" w:rsidRPr="00000000" w14:paraId="00000025">
      <w:pPr>
        <w:numPr>
          <w:ilvl w:val="0"/>
          <w:numId w:val="15"/>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beschikt over een degelijke halsband of harnas en lijn. </w:t>
      </w:r>
    </w:p>
    <w:p w:rsidR="00000000" w:rsidDel="00000000" w:rsidP="00000000" w:rsidRDefault="00000000" w:rsidRPr="00000000" w14:paraId="00000026">
      <w:pPr>
        <w:numPr>
          <w:ilvl w:val="0"/>
          <w:numId w:val="1"/>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is niet aansprakelijk voor schade of inbraak van de woning, tenzij aantoonbaar wordt gemaakt dat het te wijten is aan misbruik door de aan haar ter beschikking gestelde sleutel. </w:t>
      </w:r>
    </w:p>
    <w:p w:rsidR="00000000" w:rsidDel="00000000" w:rsidP="00000000" w:rsidRDefault="00000000" w:rsidRPr="00000000" w14:paraId="00000027">
      <w:pPr>
        <w:numPr>
          <w:ilvl w:val="0"/>
          <w:numId w:val="1"/>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Afspraken betreffende huissleutels kunnen op verzoek worden vastgelegd in een ‘sleutelcontract’. </w:t>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Bij verlies of diefstal van de huissleutel zal De Roedel &amp; Co de eigenaar zo snel mogelijk op de hoogte stellen. De Roedel &amp; Co is echter niet aansprakelijk voor eventuele schade als gevolg hiervan.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2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Wandeling </w:t>
      </w:r>
    </w:p>
    <w:p w:rsidR="00000000" w:rsidDel="00000000" w:rsidP="00000000" w:rsidRDefault="00000000" w:rsidRPr="00000000" w14:paraId="0000002B">
      <w:pPr>
        <w:numPr>
          <w:ilvl w:val="0"/>
          <w:numId w:val="9"/>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accepteert dat de hond bij thuiskomst vies en nat kan zijn en treft hier zelf maatregelen voor. De Roedel &amp; Co is daarbij niet aansprakelijk voor schade aan de woning en inboedel door een natte en/of vieze hond,</w:t>
      </w:r>
    </w:p>
    <w:p w:rsidR="00000000" w:rsidDel="00000000" w:rsidP="00000000" w:rsidRDefault="00000000" w:rsidRPr="00000000" w14:paraId="0000002C">
      <w:pPr>
        <w:numPr>
          <w:ilvl w:val="0"/>
          <w:numId w:val="7"/>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dient tijdens de uitlaattijden telefonisch bereikbaar te zijn. </w:t>
      </w:r>
    </w:p>
    <w:p w:rsidR="00000000" w:rsidDel="00000000" w:rsidP="00000000" w:rsidRDefault="00000000" w:rsidRPr="00000000" w14:paraId="0000002D">
      <w:pPr>
        <w:numPr>
          <w:ilvl w:val="0"/>
          <w:numId w:val="7"/>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is niet aan te merken als eigenaar van de hond. </w:t>
      </w:r>
    </w:p>
    <w:p w:rsidR="00000000" w:rsidDel="00000000" w:rsidP="00000000" w:rsidRDefault="00000000" w:rsidRPr="00000000" w14:paraId="0000002E">
      <w:pPr>
        <w:numPr>
          <w:ilvl w:val="0"/>
          <w:numId w:val="7"/>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Door de hond mee te laten gaan met De Roedel &amp; Co geeft de eigenaar van de hond toestemming om foto’s en video’s van de hond op social media, website of als promotiemateriaal te gebruiken.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3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Weersomstandigheden </w:t>
      </w:r>
    </w:p>
    <w:p w:rsidR="00000000" w:rsidDel="00000000" w:rsidP="00000000" w:rsidRDefault="00000000" w:rsidRPr="00000000" w14:paraId="00000031">
      <w:pPr>
        <w:numPr>
          <w:ilvl w:val="0"/>
          <w:numId w:val="4"/>
        </w:numPr>
        <w:pBdr>
          <w:top w:color="auto" w:space="0" w:sz="0" w:val="none"/>
          <w:bottom w:color="auto" w:space="0" w:sz="0" w:val="none"/>
          <w:right w:color="auto" w:space="0" w:sz="0" w:val="none"/>
          <w:between w:color="auto" w:space="0" w:sz="0" w:val="none"/>
        </w:pBdr>
        <w:ind w:left="1080" w:hanging="360"/>
        <w:rPr>
          <w:rFonts w:ascii="Arial" w:cs="Arial" w:eastAsia="Arial" w:hAnsi="Arial"/>
          <w:sz w:val="22"/>
          <w:szCs w:val="22"/>
        </w:rPr>
      </w:pPr>
      <w:r w:rsidDel="00000000" w:rsidR="00000000" w:rsidRPr="00000000">
        <w:rPr>
          <w:rFonts w:ascii="Playfair Display" w:cs="Playfair Display" w:eastAsia="Playfair Display" w:hAnsi="Playfair Display"/>
          <w:color w:val="222222"/>
          <w:rtl w:val="0"/>
        </w:rPr>
        <w:t xml:space="preserve">Er vinden </w:t>
      </w:r>
      <w:r w:rsidDel="00000000" w:rsidR="00000000" w:rsidRPr="00000000">
        <w:rPr>
          <w:rFonts w:ascii="Playfair Display" w:cs="Playfair Display" w:eastAsia="Playfair Display" w:hAnsi="Playfair Display"/>
          <w:b w:val="1"/>
          <w:color w:val="222222"/>
          <w:rtl w:val="0"/>
        </w:rPr>
        <w:t xml:space="preserve">geen </w:t>
      </w:r>
      <w:r w:rsidDel="00000000" w:rsidR="00000000" w:rsidRPr="00000000">
        <w:rPr>
          <w:rFonts w:ascii="Playfair Display" w:cs="Playfair Display" w:eastAsia="Playfair Display" w:hAnsi="Playfair Display"/>
          <w:color w:val="222222"/>
          <w:rtl w:val="0"/>
        </w:rPr>
        <w:t xml:space="preserve">wandelingen plaats wanneer de KNMI code rood afgeeft. </w:t>
      </w:r>
    </w:p>
    <w:p w:rsidR="00000000" w:rsidDel="00000000" w:rsidP="00000000" w:rsidRDefault="00000000" w:rsidRPr="00000000" w14:paraId="00000032">
      <w:pPr>
        <w:numPr>
          <w:ilvl w:val="0"/>
          <w:numId w:val="3"/>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color w:val="222222"/>
          <w:rtl w:val="0"/>
        </w:rPr>
        <w:t xml:space="preserve">De Roedel &amp; Co behoedt zich tot het recht om bij code oranje (wanneer het welzijn van de honden in het geding komt) af te lassen. </w:t>
      </w:r>
    </w:p>
    <w:p w:rsidR="00000000" w:rsidDel="00000000" w:rsidP="00000000" w:rsidRDefault="00000000" w:rsidRPr="00000000" w14:paraId="00000033">
      <w:pPr>
        <w:numPr>
          <w:ilvl w:val="0"/>
          <w:numId w:val="3"/>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color w:val="222222"/>
          <w:rtl w:val="0"/>
        </w:rPr>
        <w:t xml:space="preserve">De Roedel &amp; Co werkt in opdracht van de eigenaar van de hond. Onder alle weersomstandigheden ligt de verantwoordelijkheid bij de eigenaar van de hond om de hond mee te laten gaan met de hondenuitlaatservice. Tijdens de wandeling houdt De Roedel &amp; Co het welzijn van de honden in de gaten. Mocht de gezondheid of het welzijn van een van de honden in het geding komen, dan wordt de wandeling voor de hele roedel ingekort.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22222"/>
        </w:rPr>
      </w:pPr>
      <w:r w:rsidDel="00000000" w:rsidR="00000000" w:rsidRPr="00000000">
        <w:rPr>
          <w:rFonts w:ascii="Playfair Display" w:cs="Playfair Display" w:eastAsia="Playfair Display" w:hAnsi="Playfair Display"/>
          <w:color w:val="222222"/>
          <w:rtl w:val="0"/>
        </w:rPr>
        <w:t xml:space="preserve"> </w:t>
      </w:r>
    </w:p>
    <w:p w:rsidR="00000000" w:rsidDel="00000000" w:rsidP="00000000" w:rsidRDefault="00000000" w:rsidRPr="00000000" w14:paraId="00000035">
      <w:pPr>
        <w:rPr>
          <w:rFonts w:ascii="Playfair Display" w:cs="Playfair Display" w:eastAsia="Playfair Display" w:hAnsi="Playfair Display"/>
        </w:rPr>
      </w:pPr>
      <w:r w:rsidDel="00000000" w:rsidR="00000000" w:rsidRPr="00000000">
        <w:rPr>
          <w:rtl w:val="0"/>
        </w:rPr>
      </w:r>
    </w:p>
    <w:sectPr>
      <w:headerReference r:id="rId6" w:type="default"/>
      <w:headerReference r:id="rId7" w:type="first"/>
      <w:footerReference r:id="rId8"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rFonts w:ascii="Playfair Display" w:cs="Playfair Display" w:eastAsia="Playfair Display" w:hAnsi="Playfair Display"/>
        <w:i w:val="1"/>
        <w:sz w:val="18"/>
        <w:szCs w:val="18"/>
      </w:rPr>
    </w:pPr>
    <w:r w:rsidDel="00000000" w:rsidR="00000000" w:rsidRPr="00000000">
      <w:rPr>
        <w:rFonts w:ascii="Playfair Display" w:cs="Playfair Display" w:eastAsia="Playfair Display" w:hAnsi="Playfair Display"/>
        <w:i w:val="1"/>
        <w:sz w:val="18"/>
        <w:szCs w:val="18"/>
        <w:rtl w:val="0"/>
      </w:rPr>
      <w:t xml:space="preserve">De Roedel &amp; Co </w:t>
      <w:tab/>
      <w:t xml:space="preserve">    Hondenuitlaatservice</w:t>
      <w:tab/>
      <w:t xml:space="preserve">Algemene Voorwaarden</w:t>
      <w:tab/>
      <w:t xml:space="preserve">Laatst bewerkt: 15 september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